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615"/>
        <w:tblW w:w="0" w:type="auto"/>
        <w:tblLook w:val="04A0"/>
      </w:tblPr>
      <w:tblGrid>
        <w:gridCol w:w="3793"/>
      </w:tblGrid>
      <w:tr w:rsidR="00F82211" w:rsidRPr="00F82211" w:rsidTr="00F82211">
        <w:trPr>
          <w:trHeight w:val="16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82211" w:rsidRPr="00F82211" w:rsidRDefault="00F82211" w:rsidP="00F822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04"/>
      </w:tblGrid>
      <w:tr w:rsidR="00F82211" w:rsidRPr="002F516E" w:rsidTr="00F82211">
        <w:trPr>
          <w:gridAfter w:val="1"/>
          <w:wAfter w:w="304" w:type="dxa"/>
          <w:trHeight w:val="297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ind w:right="-1088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БРАЗОВАНИЯ</w:t>
            </w:r>
          </w:p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F82211" w:rsidRPr="002F516E" w:rsidRDefault="00F82211" w:rsidP="00F822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F82211" w:rsidRPr="002F516E" w:rsidRDefault="00F82211" w:rsidP="00F822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ЧЕТВЕРТЫ</w:t>
            </w: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Й СОЗЫВ</w:t>
            </w:r>
          </w:p>
          <w:p w:rsidR="00F82211" w:rsidRPr="002F516E" w:rsidRDefault="00F82211" w:rsidP="00F8221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211" w:rsidRPr="002F516E" w:rsidRDefault="00F82211" w:rsidP="00F82211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82211" w:rsidRPr="002F516E" w:rsidTr="00F82211">
        <w:trPr>
          <w:trHeight w:val="3542"/>
        </w:trPr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11" w:rsidRPr="002F516E" w:rsidRDefault="00F82211" w:rsidP="00F8221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одиннадцатого 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заседания Совета                                                                    </w:t>
            </w:r>
          </w:p>
          <w:p w:rsidR="00F82211" w:rsidRPr="002F516E" w:rsidRDefault="00F82211" w:rsidP="00F8221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F82211" w:rsidRPr="002F516E" w:rsidRDefault="00F82211" w:rsidP="00F8221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четвертог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>о созыва</w:t>
            </w:r>
          </w:p>
          <w:p w:rsidR="00F82211" w:rsidRPr="002F516E" w:rsidRDefault="00F82211" w:rsidP="00F8221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82211" w:rsidRPr="002F516E" w:rsidRDefault="00F82211" w:rsidP="00F8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F82211" w:rsidRPr="007956CA" w:rsidRDefault="00F82211" w:rsidP="00F822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1057">
              <w:rPr>
                <w:rFonts w:ascii="Times New Roman" w:hAnsi="Times New Roman"/>
                <w:sz w:val="28"/>
                <w:szCs w:val="28"/>
              </w:rPr>
              <w:t>21.03.</w:t>
            </w:r>
            <w:r w:rsidRPr="00106AEC">
              <w:rPr>
                <w:rFonts w:ascii="Times New Roman" w:hAnsi="Times New Roman"/>
                <w:sz w:val="28"/>
                <w:szCs w:val="28"/>
              </w:rPr>
              <w:t xml:space="preserve">2022  </w:t>
            </w:r>
            <w:r w:rsidRPr="007956C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106AEC">
              <w:rPr>
                <w:rFonts w:ascii="Times New Roman" w:hAnsi="Times New Roman"/>
                <w:sz w:val="28"/>
                <w:szCs w:val="28"/>
              </w:rPr>
              <w:t>56</w:t>
            </w:r>
            <w:r w:rsidRPr="007956CA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956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F82211" w:rsidRPr="002F516E" w:rsidRDefault="00F82211" w:rsidP="00F822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33"/>
            </w:tblGrid>
            <w:tr w:rsidR="00F82211" w:rsidRPr="002F516E" w:rsidTr="00F82211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211" w:rsidRPr="00360D73" w:rsidRDefault="00F82211" w:rsidP="00F822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отчета об исполнении бюджета</w:t>
                  </w:r>
                  <w:r w:rsidRPr="00692C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F82211" w:rsidRPr="002F516E" w:rsidRDefault="00F82211" w:rsidP="00F82211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  <w:r w:rsidRPr="00673C5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  2021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82211" w:rsidRPr="002F516E" w:rsidRDefault="00F82211" w:rsidP="00F822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F82211" w:rsidRDefault="00F82211" w:rsidP="00F82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Бюджетного кодекса Российской Федерации, статьи 15 Федерального закона «Об общих принципах организации местного самоуправления в РФ», п.п. 1.1 ст.5, ст.55,ст. 56,ст.57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F82211" w:rsidRDefault="00F82211" w:rsidP="00F82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F82211" w:rsidRDefault="00F82211" w:rsidP="00F82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82211" w:rsidRPr="00463A8E" w:rsidRDefault="00F82211" w:rsidP="00F8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0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   2021 год  по расходам в </w:t>
      </w:r>
      <w:r w:rsidRPr="00463A8E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13950,6</w:t>
      </w:r>
      <w:r w:rsidRPr="00463A8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63A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3A8E">
        <w:rPr>
          <w:rFonts w:ascii="Times New Roman" w:hAnsi="Times New Roman" w:cs="Times New Roman"/>
          <w:sz w:val="28"/>
          <w:szCs w:val="28"/>
        </w:rPr>
        <w:t xml:space="preserve">ублей;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13961,5</w:t>
      </w:r>
      <w:r w:rsidRPr="00463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A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211" w:rsidRPr="00673C52" w:rsidRDefault="00F82211" w:rsidP="00F8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D73">
        <w:rPr>
          <w:rFonts w:ascii="Times New Roman" w:hAnsi="Times New Roman"/>
          <w:sz w:val="28"/>
          <w:szCs w:val="28"/>
        </w:rPr>
        <w:t>.</w:t>
      </w:r>
      <w:r w:rsidRPr="003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в сети интернет.</w:t>
      </w:r>
    </w:p>
    <w:p w:rsidR="00F82211" w:rsidRPr="000841E7" w:rsidRDefault="00F82211" w:rsidP="00F8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52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обнародования.</w:t>
      </w:r>
    </w:p>
    <w:p w:rsidR="00F82211" w:rsidRPr="000A557F" w:rsidRDefault="00F82211" w:rsidP="00F8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360D73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Совета депутатов </w:t>
      </w:r>
      <w:r w:rsidRPr="000A557F">
        <w:rPr>
          <w:rFonts w:ascii="Times New Roman" w:hAnsi="Times New Roman" w:cs="Times New Roman"/>
          <w:sz w:val="28"/>
          <w:szCs w:val="28"/>
        </w:rPr>
        <w:t>«По строительству, торговле, экономике, бюджету и собственности».</w:t>
      </w:r>
    </w:p>
    <w:p w:rsidR="00F82211" w:rsidRPr="00673C52" w:rsidRDefault="00F82211" w:rsidP="00F82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55FB">
        <w:rPr>
          <w:rFonts w:ascii="Times New Roman" w:hAnsi="Times New Roman"/>
          <w:sz w:val="28"/>
          <w:szCs w:val="28"/>
        </w:rPr>
        <w:t xml:space="preserve">                  </w:t>
      </w:r>
      <w:r w:rsidRPr="008A08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/>
          <w:sz w:val="28"/>
          <w:szCs w:val="28"/>
        </w:rPr>
        <w:t>Жангабылов</w:t>
      </w:r>
      <w:proofErr w:type="spellEnd"/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82211" w:rsidRPr="008A085C" w:rsidRDefault="00F82211" w:rsidP="00F8221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755FB">
        <w:rPr>
          <w:rFonts w:ascii="Times New Roman" w:hAnsi="Times New Roman"/>
          <w:sz w:val="28"/>
          <w:szCs w:val="28"/>
        </w:rPr>
        <w:t xml:space="preserve">    </w:t>
      </w:r>
      <w:r w:rsidRPr="008A0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С.Ю. Нижегородцев</w:t>
      </w:r>
    </w:p>
    <w:p w:rsidR="00F82211" w:rsidRPr="00F82211" w:rsidRDefault="00F82211" w:rsidP="00081A03">
      <w:pPr>
        <w:jc w:val="center"/>
        <w:rPr>
          <w:rFonts w:ascii="Times New Roman" w:hAnsi="Times New Roman" w:cs="Times New Roman"/>
          <w:b/>
        </w:rPr>
      </w:pPr>
    </w:p>
    <w:p w:rsidR="00F82211" w:rsidRPr="00F82211" w:rsidRDefault="00F82211" w:rsidP="00081A03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5637" w:type="dxa"/>
        <w:tblLook w:val="04A0"/>
      </w:tblPr>
      <w:tblGrid>
        <w:gridCol w:w="3792"/>
      </w:tblGrid>
      <w:tr w:rsidR="00106AEC" w:rsidRPr="00106AEC" w:rsidTr="00106AEC">
        <w:trPr>
          <w:trHeight w:val="16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06AEC" w:rsidRPr="00106AEC" w:rsidRDefault="00106AEC" w:rsidP="00106AE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>Приложение</w:t>
            </w:r>
          </w:p>
          <w:p w:rsidR="00106AEC" w:rsidRPr="00106AEC" w:rsidRDefault="00106AEC" w:rsidP="00106AE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депутатов</w:t>
            </w:r>
          </w:p>
          <w:p w:rsidR="00106AEC" w:rsidRPr="00106AEC" w:rsidRDefault="00106AEC" w:rsidP="00106AE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образования</w:t>
            </w:r>
          </w:p>
          <w:p w:rsidR="00106AEC" w:rsidRPr="00106AEC" w:rsidRDefault="00106AEC" w:rsidP="00106AE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>Заилечный</w:t>
            </w:r>
            <w:proofErr w:type="spellEnd"/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106AEC" w:rsidRPr="00D755FB" w:rsidRDefault="00106AEC" w:rsidP="00D755F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 xml:space="preserve">от  </w:t>
            </w:r>
            <w:r w:rsidR="00D755FB">
              <w:rPr>
                <w:rFonts w:ascii="Times New Roman" w:eastAsiaTheme="minorEastAsia" w:hAnsi="Times New Roman"/>
                <w:sz w:val="28"/>
                <w:szCs w:val="28"/>
              </w:rPr>
              <w:t xml:space="preserve">22.03.2022 </w:t>
            </w:r>
            <w:r w:rsidRPr="00106AEC">
              <w:rPr>
                <w:rFonts w:ascii="Times New Roman" w:eastAsiaTheme="minorEastAsia" w:hAnsi="Times New Roman"/>
                <w:sz w:val="28"/>
                <w:szCs w:val="28"/>
              </w:rPr>
              <w:t xml:space="preserve"> № </w:t>
            </w:r>
            <w:r w:rsidR="00D755FB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</w:tr>
    </w:tbl>
    <w:p w:rsidR="00F82211" w:rsidRPr="00F82211" w:rsidRDefault="00F82211" w:rsidP="004E29EA">
      <w:pPr>
        <w:jc w:val="right"/>
        <w:rPr>
          <w:rFonts w:ascii="Times New Roman" w:hAnsi="Times New Roman" w:cs="Times New Roman"/>
          <w:b/>
        </w:rPr>
      </w:pPr>
    </w:p>
    <w:p w:rsidR="00081A03" w:rsidRPr="00D755FB" w:rsidRDefault="00106AEC" w:rsidP="0008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B">
        <w:rPr>
          <w:rFonts w:ascii="Times New Roman" w:hAnsi="Times New Roman" w:cs="Times New Roman"/>
          <w:b/>
          <w:sz w:val="28"/>
          <w:szCs w:val="28"/>
        </w:rPr>
        <w:t>Отчет об исполнении бюджета з</w:t>
      </w:r>
      <w:r w:rsidR="00081A03" w:rsidRPr="00D755FB">
        <w:rPr>
          <w:rFonts w:ascii="Times New Roman" w:hAnsi="Times New Roman" w:cs="Times New Roman"/>
          <w:b/>
          <w:sz w:val="28"/>
          <w:szCs w:val="28"/>
        </w:rPr>
        <w:t>а 2021г</w:t>
      </w:r>
      <w:r w:rsidRPr="00D755FB">
        <w:rPr>
          <w:rFonts w:ascii="Times New Roman" w:hAnsi="Times New Roman" w:cs="Times New Roman"/>
          <w:b/>
          <w:sz w:val="28"/>
          <w:szCs w:val="28"/>
        </w:rPr>
        <w:t>од</w:t>
      </w:r>
    </w:p>
    <w:p w:rsidR="00081A03" w:rsidRDefault="00081A03" w:rsidP="00081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tbl>
      <w:tblPr>
        <w:tblW w:w="11002" w:type="dxa"/>
        <w:tblInd w:w="-998" w:type="dxa"/>
        <w:tblLook w:val="04A0"/>
      </w:tblPr>
      <w:tblGrid>
        <w:gridCol w:w="3914"/>
        <w:gridCol w:w="797"/>
        <w:gridCol w:w="1916"/>
        <w:gridCol w:w="1495"/>
        <w:gridCol w:w="1295"/>
        <w:gridCol w:w="1585"/>
      </w:tblGrid>
      <w:tr w:rsidR="005327C1" w:rsidRPr="00106AEC" w:rsidTr="005327C1">
        <w:trPr>
          <w:trHeight w:val="79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13 952 004,00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13 961 459,72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7C1" w:rsidRPr="00106AEC" w:rsidTr="005327C1">
        <w:trPr>
          <w:trHeight w:val="902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221 128,09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1128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1128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339 438,47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1354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1128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451 314,38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1128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-57 882,97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363 531,99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677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5327C1" w:rsidRPr="00106AEC" w:rsidTr="005327C1">
        <w:trPr>
          <w:trHeight w:val="902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8 894,40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136 896,83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9 803,17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2 023,63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677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000 11607090100000140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5327C1" w:rsidRPr="00106AEC" w:rsidTr="005327C1">
        <w:trPr>
          <w:trHeight w:val="451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1 997 954,00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327C1" w:rsidRPr="00106AEC" w:rsidRDefault="005327C1" w:rsidP="00081A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03" w:rsidRPr="00106AEC" w:rsidRDefault="00081A03" w:rsidP="00081A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AEC">
        <w:rPr>
          <w:rFonts w:ascii="Times New Roman" w:hAnsi="Times New Roman" w:cs="Times New Roman"/>
          <w:b/>
          <w:sz w:val="20"/>
          <w:szCs w:val="20"/>
        </w:rPr>
        <w:t>Расходы</w:t>
      </w:r>
    </w:p>
    <w:tbl>
      <w:tblPr>
        <w:tblW w:w="11013" w:type="dxa"/>
        <w:tblInd w:w="-998" w:type="dxa"/>
        <w:tblLook w:val="04A0"/>
      </w:tblPr>
      <w:tblGrid>
        <w:gridCol w:w="4125"/>
        <w:gridCol w:w="797"/>
        <w:gridCol w:w="1673"/>
        <w:gridCol w:w="1495"/>
        <w:gridCol w:w="1338"/>
        <w:gridCol w:w="1585"/>
      </w:tblGrid>
      <w:tr w:rsidR="005327C1" w:rsidRPr="00106AEC" w:rsidTr="005327C1">
        <w:trPr>
          <w:trHeight w:val="7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14 250 304,00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13 950 601,28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299 702,72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000 0102 7400110010 121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528 616,12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000 0102 7400110010 129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334,95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000 0104 7400210020 121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605 583,88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550 347,28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55 236,60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000 0104 7400210020 129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166 204,89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18 995,11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000 0104 7400210020 244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346 498,52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95 381,48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000 0104 7400210020 853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241,83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000 0113 7400390090 540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000 0203 7400451180 121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000 0203 7400451180 129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23 323,85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000 0203 7400451180 244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000 0310 7300570010 244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000 0310 7300570010 812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653 841,00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000 0310 7620010050 244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000 0314 7620060180 244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000 0409 7300670020 243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53 634,74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000 0409 7300670020 244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599 023,26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594 390,46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4 632,80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000 0409 7300670020 247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204 043,85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41 156,15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73006S1320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1 857 292,00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1 856 589,47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702,53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000 0412 7300790150 244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000 0502 7300860450 811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808 254,00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000 0502 7300870030 243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18 614,47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000 0502 7300870030 244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8 315,00</w:t>
            </w:r>
          </w:p>
        </w:tc>
      </w:tr>
      <w:tr w:rsidR="005327C1" w:rsidRPr="00106AEC" w:rsidTr="005327C1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73008S0450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000 0503 7300470070 244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26 064,55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000 0801 7300270080 244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323 463,72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10 636,28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000 0801 7300270080 247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569 476,98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508 395,99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61 080,99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000 0801 7300270080 540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000 0801 7300270080 851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000 0801 7300370090 540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27C1" w:rsidRPr="00106AEC" w:rsidTr="005327C1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73027L6350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4 029 000,00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389,00</w:t>
            </w:r>
          </w:p>
        </w:tc>
      </w:tr>
      <w:tr w:rsidR="005327C1" w:rsidRPr="00106AEC" w:rsidTr="005327C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7C1" w:rsidRPr="00106AEC" w:rsidRDefault="005327C1" w:rsidP="005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-298 300,00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7C1" w:rsidRPr="00106AEC" w:rsidRDefault="005327C1" w:rsidP="005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081A03" w:rsidRDefault="00081A03" w:rsidP="00081A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AEC" w:rsidRDefault="00106AEC" w:rsidP="00081A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AEC" w:rsidRPr="00106AEC" w:rsidRDefault="00106AEC" w:rsidP="00081A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27C1" w:rsidRPr="00106AEC" w:rsidRDefault="00106AEC" w:rsidP="005327C1">
      <w:pPr>
        <w:jc w:val="center"/>
        <w:rPr>
          <w:rFonts w:ascii="Times New Roman" w:hAnsi="Times New Roman" w:cs="Times New Roman"/>
        </w:rPr>
      </w:pPr>
      <w:bookmarkStart w:id="0" w:name="__bookmark_1"/>
      <w:bookmarkEnd w:id="0"/>
      <w:r w:rsidRPr="00106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tbl>
      <w:tblPr>
        <w:tblOverlap w:val="never"/>
        <w:tblW w:w="9781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167"/>
      </w:tblGrid>
      <w:tr w:rsidR="00106AEC" w:rsidRPr="00106AEC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Pr="00106AEC" w:rsidRDefault="00106AEC" w:rsidP="00106AEC">
            <w:pPr>
              <w:tabs>
                <w:tab w:val="left" w:pos="9214"/>
              </w:tabs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06A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Общие сведения</w:t>
            </w:r>
          </w:p>
          <w:tbl>
            <w:tblPr>
              <w:tblOverlap w:val="never"/>
              <w:tblW w:w="96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698"/>
            </w:tblGrid>
            <w:tr w:rsidR="00106AEC" w:rsidRPr="00106AEC" w:rsidTr="00106AEC">
              <w:trPr>
                <w:trHeight w:val="6723"/>
              </w:trPr>
              <w:tc>
                <w:tcPr>
                  <w:tcW w:w="96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Pr="00106AEC" w:rsidRDefault="00106AEC" w:rsidP="00106AEC">
                  <w:pPr>
                    <w:spacing w:after="0" w:line="240" w:lineRule="auto"/>
                    <w:ind w:firstLine="709"/>
                    <w:jc w:val="both"/>
                  </w:pPr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Адрес и место нахождения организации: 461560, Оренбургская область, </w:t>
                  </w:r>
                  <w:proofErr w:type="spellStart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Акбулакский</w:t>
                  </w:r>
                  <w:proofErr w:type="spell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район, село 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Веселый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ервый, улица Центральная,1. телефон 46-324. </w:t>
                  </w:r>
                  <w:proofErr w:type="spellStart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– является поселением, образованным в соответствии с Законом Оренбургской области, объединяющей территорией пяти сельских населенных пункта. Административным центром является село Веселый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ервый. 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</w:t>
                  </w:r>
                  <w:proofErr w:type="gramStart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согласно</w:t>
                  </w:r>
                  <w:proofErr w:type="gram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штатного расписания 3 человек, также по совместительству работает специалист по воинскому учету 1 человек.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      </w:r>
                  <w:proofErr w:type="gramStart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положением</w:t>
                  </w:r>
                  <w:proofErr w:type="gramEnd"/>
                  <w:r w:rsidRPr="00106A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      </w:r>
                </w:p>
              </w:tc>
            </w:tr>
          </w:tbl>
          <w:p w:rsidR="00106AEC" w:rsidRPr="00106AEC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Pr="00106AEC" w:rsidRDefault="00106AEC" w:rsidP="00106AEC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06A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tbl>
            <w:tblPr>
              <w:tblOverlap w:val="never"/>
              <w:tblW w:w="970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00"/>
            </w:tblGrid>
            <w:tr w:rsidR="00106AEC" w:rsidTr="00106AEC">
              <w:trPr>
                <w:trHeight w:val="5669"/>
              </w:trPr>
              <w:tc>
                <w:tcPr>
                  <w:tcW w:w="9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Default="00106AEC" w:rsidP="00106AEC">
                  <w:pPr>
                    <w:spacing w:after="0" w:line="240" w:lineRule="auto"/>
                    <w:ind w:firstLine="709"/>
                    <w:jc w:val="both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труктуру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органов местного самоуправления составляют; представительный орган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сельсовета-Совет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депутатов, глава муниципального образования. Исполнительно-распорядительный орган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сельсовета-администрация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сельсовета. Вид деятельности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рган местного самоуправления поселковых и сельских населенных пунктов. В целях решения вопросов местного значения органы местного самоуправления обладают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следующими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полномочиями-принятие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Устава и внесение изменений и дополнений в него, установление и регулирование тарифов на услуги, подготовка и проведение выборов. Местное самоуправление в сельсовете осуществляется в границах муниципального образования. Форма собственности: муниципальная.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Раздел 2 «Результаты деятельности субъекта бюджетной отчетности» 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продукте: АС «Смета».</w:t>
                  </w:r>
                </w:p>
              </w:tc>
            </w:tr>
          </w:tbl>
          <w:p w:rsidR="00106AEC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Pr="00106AEC" w:rsidRDefault="00106AEC" w:rsidP="00106AEC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06A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tbl>
            <w:tblPr>
              <w:tblOverlap w:val="never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81"/>
            </w:tblGrid>
            <w:tr w:rsidR="00106AEC" w:rsidTr="00106AEC">
              <w:tc>
                <w:tcPr>
                  <w:tcW w:w="97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Default="00106AEC" w:rsidP="00106AEC">
                  <w:pPr>
                    <w:tabs>
                      <w:tab w:val="left" w:pos="9639"/>
                    </w:tabs>
                    <w:spacing w:after="0" w:line="240" w:lineRule="auto"/>
                    <w:ind w:firstLine="70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Доходная часть бюджета на 2021год утверждена по бюджетным назначениям в сумме 13952,0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исполнение составляет 13961,5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тыс.рублей, что составляет 100 процент к годовым плановым назначениям. Доходы от уплаты акцизов на дизельное топливо - исполнение составляет 339,4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102%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 - исполнение 2,4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126%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автомобильный бензин - исполнение составляет 451,3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104 % к годовым бюджетным назначениям в связи со своевременной уплатой акцизов.; Доходы от уплаты акцизов на прямогонный бензин - исполнение составляет -57,9 тыс.рублей или -122 % к годовым бюджетным назначениям. Исполнения в связи с тем, что налогоплательщик сделал перерасчет и применил налоговый вычет в налоговом периоде превысивший сумму налога, подлежащего к уплате в бюджет;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алог на доходы физических лиц – исполнение составляет 222,3тыс. рублей или 106% к годовым бюджетным назначениям. Исполнения есть в связи с тем, что налогоплательщики бюджетные организаци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МУП «Родник», Весёловская СОШ №1), оплатили текущие платежи; -единый сельскохозяйственный налог – исполнение составляет 104тыс. рублей или 100 % к годовым бюджетным назначениям, фермерские хозяйства оплатили текущие платежи КФХ: Аслан,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Азамат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алог на имущество физических лиц – исполнение составляет 5,0 тыс. рублей или 0 % к годовым бюджетным назначениям. Не исполнение обусловлено тем, что физические лица своевременно не уплатили налог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емельный налог  с организаций, обладающих земельным участком, расположенным в границах сельских поселений – исполнение составляет 33,1 тыс. рублей или 120 % к годовым бюджетным назначениям. Поступление обусловлено тем что юр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ица ООО «РОСТА-АГРОПРОДУКТ», 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Инвестиционно-Консалтинговая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Группа"  оплатили текущие платежи проводилась работа по задолженности;   - Земельный налог с физических лиц, обладающих земельным участком, расположенным в границах сельских поселений – исполнение составляет 363,5 тыс. рублей или 101 % к годовым бюджетным назначениям. Поступление  в полном объеме в связи с тем что физ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ица  оплатили текущие платежи, проводится работа по задолженности;  -государственная пошлина за совершение нотариальных действий – исполнение составляет 0,9 тыс. рублей . Не выполнение обусловлено тем, что уменьшилось количество обращений граждан связанных с оформлением юридически значимых действий;  -арендная плата  – исполнение составляет 139,1 тыс. рублей или 88 % к годовым бюджетным назначениям. Не выполнение обусловлено тем, что налогоплательщики не полностью оплатили текущие платежи (Юшка Е.В. и ПАО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Ростелеком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")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–д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оходы от компенсации затрат государства исполнение составляет 3,7тыс.рублей или 65% к годовым бюджетным значениям не полностью поступили платежи в связи с тем, что ПАО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Ростелеком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»не вовремя оплачивает текущие платежи. -административные штрафы – исполнение составляет 1 тыс. рублей. Оплачен штраф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плательщикСнасапов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С.П.). Иные штрафы, неустойки, пени уплаченные в соответствии с законом или договором в случае не исполнения по ступили в сумме 21,4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плательшик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ООО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Промдорстрой-Оренбург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-  исполнены в размере в 12342,2тыс. рублей или 100 % к утвержденным бюджетным назначениям на  2021г., из них профинансировано:  - дотации бюджетам поселений на выравнивание уровня бюджетной обеспеченности в размере 3544 тыс. рублей, или        100 % к годовым бюджетным назначениям; – субвенции на выполнение полномочий по первичному воинскому учету в размере 102 тыс. рублей, или 100 % к годовым бюджетным назначениям;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- 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в размере 1997,9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уб. или 100 % к утвержденным бюджетным назначениям поступление исполнено в полном объеме; - прочие субсидии бюджетам сельских поселений в размере 2777,9тыс. рублей или 100% к годовым бюджетным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назначениям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безвозмездные поступления от негосударственных организаций в бюджеты сельских поселений в размере 403тыс рублей или 100% к годовым бюджетным назначениям.</w:t>
                  </w:r>
                </w:p>
              </w:tc>
            </w:tr>
          </w:tbl>
          <w:p w:rsidR="00106AEC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Pr="000F3376" w:rsidRDefault="00106AEC" w:rsidP="00106AEC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F3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tbl>
            <w:tblPr>
              <w:tblOverlap w:val="never"/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106AEC" w:rsidTr="00106AEC">
              <w:tc>
                <w:tcPr>
                  <w:tcW w:w="94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Default="00106AEC" w:rsidP="00106AEC">
                  <w:pPr>
                    <w:spacing w:after="0" w:line="240" w:lineRule="auto"/>
                    <w:ind w:firstLine="709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Расходная часть бюджета на 2021 год утверждена по бюджетным назначениям в сумме 14250,3 тыс. рублей, исполнение составляет 13950,6тыс. рублей, что составляет 98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687,3 тыс. рублей, произведены в сумме 686,9тыс. рублей, что составляет 99,9 % от утвержденных годовых назначений;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утверждены в сумме 1236,8 тыс. рублей, профинансирована в сумме 1066,9 тыс. рублей, что составляет 86 % от утвержденных годовых назначений не исполнение в связи с тем, что договор на услуги связи был заключен на большую сумму, а исполнение прошло на меньшую.  0113 «Другие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общегосударственные расходы» расходы профинансированы в сумме 281,9тыс. рублей или 100% к утвержденным годовым назначениям. 0203 «Воинский учет» расходы на выполнение полномочий по первичному воинскому учету профинансированы в сумме 102тыс. рублей или 100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73,4 тыс. рублей;  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703 тыс. рублей, профинансированы в сумме 703 тыс. рублей или 100 процентов к утвержденным годовым назначениям.  По разделу 0314 «Другие вопросы в области национальной безопасности и правоохранительной деятельности». Расходы на мероприятия направленные на охрану общественного порядка на территории сельских поселений утверждены в сумме 5тыс. рублей, профинансированы в сумме 2,5 тыс. рублей или 50 процентов к утвержденным годовым назначениям. Расходы исполнены по разделу 0409 «Дорожное хозяйство» утверждены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сумме 2755,1 тыс. рублей, профинансированы в сумме 2708,7 тыс. рублей или 98% к утвержденным годовым назначениям. Расходы произведены на очистку от снега поселковых дорог, ремонт асфальтобетонного покрытия и освещение дорог. Расходы исполнены по разделу 0412 «Мероприятия по землеустройству и землепользованию» утверждены в сумме 17тыс. рублей, профинансированы в сумме 17тыс. рублей или 100% к утвержденным годовым назначениям. Расходы на оформление произведены полностью. Расходы по разделу 0502 «Коммунальное хозяйство» утверждены в сумме 2295,9  рублей, профинансированы в сумме 2287,6 тыс. рублей, что составляет  99,6 % от утвержденных годовых назначений  исполнение в связи с тем что  приобретался насоса, был капитальный ремонт водопровода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 По разделу 0503 «Благоустройство» утверждены в сумме 26,1 тыс. рублей, профинансированы в сумме 26,1 тыс. рублей, что составляет  100 % от утвержденных годовых назначений.          По разделу 0801 «Культура» по решению бюджетов муниципального района и из бюджета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в соответствии с заключенным соглашением расходы профинансированы в сумме 65595,9 тыс. рублей или 96% к утвержденным годовым назначениям производился капитальный ремонт здания дома культуры. По разделу 0801 «Библиотека» - в сумме 472,2 тыс. рублей или 100% к утвержденным годовым назначениям.</w:t>
                  </w:r>
                </w:p>
              </w:tc>
            </w:tr>
          </w:tbl>
          <w:p w:rsidR="00106AEC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376" w:rsidRDefault="000F3376" w:rsidP="00106A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AEC" w:rsidRPr="000F3376" w:rsidRDefault="00106AEC" w:rsidP="00106AEC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F3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tbl>
            <w:tblPr>
              <w:tblOverlap w:val="never"/>
              <w:tblW w:w="991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10"/>
            </w:tblGrid>
            <w:tr w:rsidR="00106AEC" w:rsidTr="00106AEC">
              <w:trPr>
                <w:trHeight w:val="2304"/>
              </w:trPr>
              <w:tc>
                <w:tcPr>
                  <w:tcW w:w="99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Default="00106AEC" w:rsidP="00106AEC">
                  <w:pPr>
                    <w:spacing w:after="0" w:line="240" w:lineRule="auto"/>
                    <w:ind w:firstLine="70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состоянию на 01.01.2022г. 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имеет кредиторскую задолженность перед ПАО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Ростелеком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 в сумме 3125,24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ОАО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ЭнергосбытПлюс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 в сумме 34220,66 рублей и 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Рн-Карта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 в сумме 11124 тыс.рублей Задолженности по выдачи денежных средств подотчетным лицам нет. Остаток денежных средств на счете на 01.01.2022 года –309288рублей 82копейки.</w:t>
                  </w:r>
                </w:p>
              </w:tc>
            </w:tr>
          </w:tbl>
          <w:p w:rsidR="00106AEC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RPr="000F3376" w:rsidTr="000F3376">
        <w:trPr>
          <w:trHeight w:val="529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Pr="000F3376" w:rsidRDefault="00106AEC" w:rsidP="00106AEC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F3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tbl>
            <w:tblPr>
              <w:tblOverlap w:val="never"/>
              <w:tblW w:w="981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17"/>
            </w:tblGrid>
            <w:tr w:rsidR="00106AEC" w:rsidRPr="000F3376" w:rsidTr="00106AEC">
              <w:trPr>
                <w:trHeight w:val="2557"/>
              </w:trPr>
              <w:tc>
                <w:tcPr>
                  <w:tcW w:w="98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AEC" w:rsidRPr="000F3376" w:rsidRDefault="00106AEC" w:rsidP="00106AEC">
                  <w:pPr>
                    <w:spacing w:after="0" w:line="240" w:lineRule="auto"/>
                    <w:ind w:firstLine="709"/>
                    <w:jc w:val="both"/>
                  </w:pPr>
                  <w:r w:rsidRPr="000F33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Администрацией МО </w:t>
                  </w:r>
                  <w:proofErr w:type="spellStart"/>
                  <w:r w:rsidRPr="000F33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 w:rsidRPr="000F33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были проведены мероприятия внутреннего контроля: сверка с УФК составлялся протокол согласований в результате, которого нарушений не обнаружено. Проведена инвентаризация фактического наличия материальных ценностей, основных средств распоряжение № 19-р от 03.12.2021г. Причиной инвентаризации является окончание отчетного периода. В результате проведения инвентаризации расхождений не выявлено.</w:t>
                  </w:r>
                </w:p>
              </w:tc>
            </w:tr>
          </w:tbl>
          <w:p w:rsidR="00106AEC" w:rsidRPr="000F3376" w:rsidRDefault="00106AEC" w:rsidP="00106AEC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6AEC" w:rsidTr="000F337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EC" w:rsidRDefault="00106AEC" w:rsidP="00106AEC">
            <w:pPr>
              <w:spacing w:after="0" w:line="240" w:lineRule="auto"/>
              <w:ind w:firstLine="709"/>
              <w:jc w:val="both"/>
            </w:pPr>
          </w:p>
        </w:tc>
      </w:tr>
    </w:tbl>
    <w:p w:rsidR="005327C1" w:rsidRDefault="005327C1" w:rsidP="00106AEC">
      <w:pPr>
        <w:spacing w:after="0" w:line="240" w:lineRule="auto"/>
        <w:ind w:firstLine="709"/>
        <w:jc w:val="both"/>
        <w:rPr>
          <w:vanish/>
        </w:rPr>
      </w:pPr>
      <w:bookmarkStart w:id="2" w:name="__bookmark_4"/>
      <w:bookmarkEnd w:id="2"/>
    </w:p>
    <w:sectPr w:rsidR="005327C1" w:rsidSect="00106AEC">
      <w:pgSz w:w="11906" w:h="16838"/>
      <w:pgMar w:top="567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F6" w:rsidRDefault="008D45F6" w:rsidP="00081A03">
      <w:pPr>
        <w:spacing w:after="0" w:line="240" w:lineRule="auto"/>
      </w:pPr>
      <w:r>
        <w:separator/>
      </w:r>
    </w:p>
  </w:endnote>
  <w:endnote w:type="continuationSeparator" w:id="0">
    <w:p w:rsidR="008D45F6" w:rsidRDefault="008D45F6" w:rsidP="000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F6" w:rsidRDefault="008D45F6" w:rsidP="00081A03">
      <w:pPr>
        <w:spacing w:after="0" w:line="240" w:lineRule="auto"/>
      </w:pPr>
      <w:r>
        <w:separator/>
      </w:r>
    </w:p>
  </w:footnote>
  <w:footnote w:type="continuationSeparator" w:id="0">
    <w:p w:rsidR="008D45F6" w:rsidRDefault="008D45F6" w:rsidP="000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E3"/>
    <w:rsid w:val="00081A03"/>
    <w:rsid w:val="000A0149"/>
    <w:rsid w:val="000C5C1B"/>
    <w:rsid w:val="000F3376"/>
    <w:rsid w:val="00106AEC"/>
    <w:rsid w:val="00191974"/>
    <w:rsid w:val="002E42DE"/>
    <w:rsid w:val="004E29EA"/>
    <w:rsid w:val="005327C1"/>
    <w:rsid w:val="00591C1F"/>
    <w:rsid w:val="00690EEF"/>
    <w:rsid w:val="00733354"/>
    <w:rsid w:val="00745907"/>
    <w:rsid w:val="007472E3"/>
    <w:rsid w:val="00840219"/>
    <w:rsid w:val="00886AE1"/>
    <w:rsid w:val="008D45F6"/>
    <w:rsid w:val="00A403FF"/>
    <w:rsid w:val="00A515AA"/>
    <w:rsid w:val="00BD0CDF"/>
    <w:rsid w:val="00D216E1"/>
    <w:rsid w:val="00D4090A"/>
    <w:rsid w:val="00D755FB"/>
    <w:rsid w:val="00EE31D6"/>
    <w:rsid w:val="00F8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211"/>
  </w:style>
  <w:style w:type="paragraph" w:styleId="a5">
    <w:name w:val="footer"/>
    <w:basedOn w:val="a"/>
    <w:link w:val="a6"/>
    <w:uiPriority w:val="99"/>
    <w:semiHidden/>
    <w:unhideWhenUsed/>
    <w:rsid w:val="00F8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211"/>
  </w:style>
  <w:style w:type="table" w:styleId="a7">
    <w:name w:val="Table Grid"/>
    <w:basedOn w:val="a1"/>
    <w:uiPriority w:val="39"/>
    <w:rsid w:val="00F8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822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822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5</cp:revision>
  <cp:lastPrinted>2022-03-21T06:39:00Z</cp:lastPrinted>
  <dcterms:created xsi:type="dcterms:W3CDTF">2022-03-17T10:59:00Z</dcterms:created>
  <dcterms:modified xsi:type="dcterms:W3CDTF">2022-03-22T04:46:00Z</dcterms:modified>
</cp:coreProperties>
</file>